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5ABD" w14:textId="6FADB7E1" w:rsidR="00692AE5" w:rsidRPr="00692AE5" w:rsidRDefault="00692AE5" w:rsidP="00692AE5">
      <w:pPr>
        <w:rPr>
          <w:b/>
          <w:bCs/>
          <w:u w:val="single"/>
        </w:rPr>
      </w:pPr>
      <w:r w:rsidRPr="00692AE5">
        <w:rPr>
          <w:b/>
          <w:bCs/>
          <w:u w:val="single"/>
        </w:rPr>
        <w:t xml:space="preserve">Die Initiative „Botschafterinnen und Botschafter des Handwerks“ </w:t>
      </w:r>
      <w:r w:rsidR="00EB2CDE">
        <w:rPr>
          <w:b/>
          <w:bCs/>
          <w:u w:val="single"/>
        </w:rPr>
        <w:t>–</w:t>
      </w:r>
      <w:r w:rsidRPr="00692AE5">
        <w:rPr>
          <w:b/>
          <w:bCs/>
          <w:u w:val="single"/>
        </w:rPr>
        <w:t xml:space="preserve"> Leistungsübersicht</w:t>
      </w:r>
    </w:p>
    <w:p w14:paraId="711FE251" w14:textId="77777777" w:rsidR="00692AE5" w:rsidRDefault="00692AE5" w:rsidP="00692AE5">
      <w:pPr>
        <w:rPr>
          <w:u w:val="single"/>
        </w:rPr>
      </w:pPr>
    </w:p>
    <w:p w14:paraId="6F3A3F93" w14:textId="25A1C6AE" w:rsidR="00692AE5" w:rsidRPr="00C45B94" w:rsidRDefault="00692AE5" w:rsidP="00692AE5">
      <w:pPr>
        <w:rPr>
          <w:b/>
          <w:bCs/>
        </w:rPr>
      </w:pPr>
      <w:r w:rsidRPr="00C45B94">
        <w:rPr>
          <w:b/>
          <w:bCs/>
        </w:rPr>
        <w:t>Für die Handwerkskammern und alle</w:t>
      </w:r>
      <w:r w:rsidR="00C45B94">
        <w:rPr>
          <w:b/>
          <w:bCs/>
        </w:rPr>
        <w:t xml:space="preserve"> </w:t>
      </w:r>
      <w:r w:rsidR="00C45B94">
        <w:t>Kooperationsbeteiligten</w:t>
      </w:r>
      <w:r w:rsidRPr="00C45B94">
        <w:rPr>
          <w:b/>
          <w:bCs/>
        </w:rPr>
        <w:t>: Unterstützung und Begleitung</w:t>
      </w:r>
    </w:p>
    <w:p w14:paraId="28A5D7E0" w14:textId="71715779" w:rsidR="00692AE5" w:rsidRDefault="00A26B09" w:rsidP="00692AE5">
      <w:r>
        <w:t xml:space="preserve">Den </w:t>
      </w:r>
      <w:r w:rsidR="00692AE5">
        <w:t>Berate</w:t>
      </w:r>
      <w:r w:rsidR="00851E1D">
        <w:t>nden</w:t>
      </w:r>
      <w:r w:rsidR="00692AE5">
        <w:t xml:space="preserve"> und Koordinierungskräften</w:t>
      </w:r>
      <w:r>
        <w:t xml:space="preserve"> unserer Partnerorganisationen</w:t>
      </w:r>
      <w:r w:rsidR="00692AE5">
        <w:t xml:space="preserve"> bietet die Initiative eine passgenaue Unterstützung </w:t>
      </w:r>
      <w:r w:rsidR="00401496">
        <w:t>beim</w:t>
      </w:r>
      <w:r w:rsidR="00692AE5">
        <w:t xml:space="preserve"> Aufbau und Management des Projektes vor Ort an. Das heißt: Materialien und Impulse für die Ansprache der Zielgruppe werden bereitgestellt. </w:t>
      </w:r>
      <w:r>
        <w:t>Das Prozessmanagement</w:t>
      </w:r>
      <w:r w:rsidR="00692AE5">
        <w:t xml:space="preserve"> innerhalb der Initiative und </w:t>
      </w:r>
      <w:r>
        <w:t xml:space="preserve">auch </w:t>
      </w:r>
      <w:r w:rsidR="00692AE5">
        <w:t>extern</w:t>
      </w:r>
      <w:r>
        <w:t>e Kooperationen können</w:t>
      </w:r>
      <w:r w:rsidR="00692AE5">
        <w:t xml:space="preserve"> </w:t>
      </w:r>
      <w:r>
        <w:t>bei Bedarf</w:t>
      </w:r>
      <w:r w:rsidR="00692AE5">
        <w:t xml:space="preserve"> unterstützt und begleitet</w:t>
      </w:r>
      <w:r>
        <w:t xml:space="preserve"> werden</w:t>
      </w:r>
      <w:r w:rsidR="00692AE5">
        <w:t xml:space="preserve">. </w:t>
      </w:r>
    </w:p>
    <w:p w14:paraId="7D576E62" w14:textId="3C6A426F" w:rsidR="00692AE5" w:rsidRDefault="00A26B09" w:rsidP="00692AE5">
      <w:r>
        <w:t xml:space="preserve">Auch </w:t>
      </w:r>
      <w:r w:rsidR="003F5146">
        <w:t>für die</w:t>
      </w:r>
      <w:r>
        <w:t xml:space="preserve"> Durchführung von</w:t>
      </w:r>
      <w:r w:rsidR="000B0643">
        <w:t xml:space="preserve"> </w:t>
      </w:r>
      <w:r w:rsidR="00692AE5">
        <w:t xml:space="preserve">Veranstaltungen, Aktionen und Social-Media-Aktivitäten </w:t>
      </w:r>
      <w:r>
        <w:t>kann bei Bedarf Unterstützung angeboten</w:t>
      </w:r>
      <w:r w:rsidR="00692AE5">
        <w:t xml:space="preserve"> werden, dazu gehör</w:t>
      </w:r>
      <w:r>
        <w:t>t</w:t>
      </w:r>
      <w:r w:rsidR="00692AE5">
        <w:t xml:space="preserve"> auch die Betreuung von Veranstaltungen durch </w:t>
      </w:r>
      <w:r w:rsidR="000E4A04">
        <w:t>technischen</w:t>
      </w:r>
      <w:r w:rsidR="00692AE5">
        <w:t xml:space="preserve"> und konzeptionellen Support.</w:t>
      </w:r>
    </w:p>
    <w:p w14:paraId="1E32A6C8" w14:textId="7103CF87" w:rsidR="00692AE5" w:rsidRDefault="00692AE5" w:rsidP="00692AE5">
      <w:r>
        <w:t>Durch die Bereitstellung des Konferenzsystems „</w:t>
      </w:r>
      <w:proofErr w:type="spellStart"/>
      <w:r w:rsidRPr="00FB2CEC">
        <w:t>BigBlueButton</w:t>
      </w:r>
      <w:proofErr w:type="spellEnd"/>
      <w:r>
        <w:t>“ bietet die Initiative außerdem eine digitale Plattform zum Austausch an und so auch die Möglichkeit</w:t>
      </w:r>
      <w:r w:rsidR="000E4A04">
        <w:t>,</w:t>
      </w:r>
      <w:r>
        <w:t xml:space="preserve"> sich überregional zu vernetzen und Online-Veranstaltungen niedrigschwellig durchzuführen.</w:t>
      </w:r>
    </w:p>
    <w:p w14:paraId="44473232" w14:textId="731734EC" w:rsidR="00692AE5" w:rsidRPr="00692AE5" w:rsidRDefault="00692AE5" w:rsidP="00692AE5">
      <w:r>
        <w:t xml:space="preserve">Alle Unterstützungen sind passgenau – also auf die individuellen Bedürfnisse und regionalen Begebenheiten angepasst. Fragen hierzu beantwortet das Koordinierungsteam der Initiative jederzeit: </w:t>
      </w:r>
      <w:hyperlink r:id="rId8" w:history="1">
        <w:r w:rsidR="00A56A05" w:rsidRPr="00FB2CEC">
          <w:rPr>
            <w:rStyle w:val="Hyperlink"/>
          </w:rPr>
          <w:t>bbh@zwh.de</w:t>
        </w:r>
      </w:hyperlink>
    </w:p>
    <w:p w14:paraId="24E1AFBC" w14:textId="77777777" w:rsidR="00692AE5" w:rsidRDefault="00692AE5" w:rsidP="00692AE5">
      <w:pPr>
        <w:rPr>
          <w:u w:val="single"/>
        </w:rPr>
      </w:pPr>
    </w:p>
    <w:p w14:paraId="7A5D7B42" w14:textId="1DBADDF5" w:rsidR="00692AE5" w:rsidRPr="00C45B94" w:rsidRDefault="00692AE5" w:rsidP="00692AE5">
      <w:pPr>
        <w:rPr>
          <w:b/>
          <w:bCs/>
        </w:rPr>
      </w:pPr>
      <w:r w:rsidRPr="00C45B94">
        <w:rPr>
          <w:b/>
          <w:bCs/>
        </w:rPr>
        <w:t>Für die Ehrenamtlichen: Qualifizierung und Professionalisierung</w:t>
      </w:r>
    </w:p>
    <w:p w14:paraId="6F4E7DAC" w14:textId="77777777" w:rsidR="00692AE5" w:rsidRDefault="00692AE5" w:rsidP="00692AE5">
      <w:r>
        <w:t xml:space="preserve">Weiterbildung im Handwerk ist auch für Ehrenamtliche ein wichtiges Thema: Die Ehrenamtlichen der Initiative </w:t>
      </w:r>
      <w:hyperlink r:id="rId9" w:history="1">
        <w:r w:rsidRPr="008A1706">
          <w:rPr>
            <w:rStyle w:val="Hyperlink"/>
          </w:rPr>
          <w:t>„Botschafterinnen und Botschafter des Handwerks“</w:t>
        </w:r>
      </w:hyperlink>
      <w:r>
        <w:t xml:space="preserve"> werden seit dem 08.04.2021 mit einem besonderen Angebot zur Kompetenzentwicklung unterstützt. </w:t>
      </w:r>
    </w:p>
    <w:p w14:paraId="31382280" w14:textId="5C38930B" w:rsidR="00692AE5" w:rsidRDefault="00692AE5" w:rsidP="00692AE5">
      <w:r>
        <w:t xml:space="preserve">In der </w:t>
      </w:r>
      <w:r w:rsidRPr="00FB2CEC">
        <w:rPr>
          <w:b/>
          <w:bCs/>
        </w:rPr>
        <w:t>BBH</w:t>
      </w:r>
      <w:r w:rsidR="00A56A05" w:rsidRPr="00FB2CEC">
        <w:rPr>
          <w:b/>
          <w:bCs/>
        </w:rPr>
        <w:t xml:space="preserve"> </w:t>
      </w:r>
      <w:r w:rsidRPr="00FB2CEC">
        <w:rPr>
          <w:b/>
          <w:bCs/>
        </w:rPr>
        <w:t>Academy</w:t>
      </w:r>
      <w:r>
        <w:t xml:space="preserve"> können sich die </w:t>
      </w:r>
      <w:r w:rsidRPr="00FB2CEC">
        <w:t>Botschafter*innen</w:t>
      </w:r>
      <w:r>
        <w:t xml:space="preserve"> online für ihre ehrenamtliche Tätigkeit</w:t>
      </w:r>
      <w:r w:rsidR="00A56A05">
        <w:t>,</w:t>
      </w:r>
      <w:r>
        <w:t xml:space="preserve"> aber auch </w:t>
      </w:r>
      <w:r w:rsidR="00A56A05">
        <w:t xml:space="preserve">für </w:t>
      </w:r>
      <w:r>
        <w:t xml:space="preserve">ihre Karriere im Handwerk wichtiges Wissen aneignen: Von der Existenzgründung im Handwerk </w:t>
      </w:r>
      <w:r w:rsidR="00A56A05">
        <w:t>über die</w:t>
      </w:r>
      <w:r>
        <w:t xml:space="preserve"> Videoproduktion mit dem Smartphone </w:t>
      </w:r>
      <w:r w:rsidR="00A56A05">
        <w:t>bis hin zur</w:t>
      </w:r>
      <w:r>
        <w:t xml:space="preserve"> Darstellung des eigenen Betriebes auf </w:t>
      </w:r>
      <w:proofErr w:type="spellStart"/>
      <w:r>
        <w:t>Social</w:t>
      </w:r>
      <w:proofErr w:type="spellEnd"/>
      <w:r>
        <w:t xml:space="preserve"> Media bietet die Academy einen bunten Blumenstrauß </w:t>
      </w:r>
      <w:r w:rsidR="00A56A05">
        <w:t>aus</w:t>
      </w:r>
      <w:r>
        <w:t xml:space="preserve"> Themen, angepasst an die Bedürfnisse der </w:t>
      </w:r>
      <w:r w:rsidRPr="00FB2CEC">
        <w:t>Botschafter*innen</w:t>
      </w:r>
      <w:r>
        <w:t>.</w:t>
      </w:r>
    </w:p>
    <w:p w14:paraId="51905B72" w14:textId="77777777" w:rsidR="00692AE5" w:rsidRDefault="00692AE5" w:rsidP="00692AE5">
      <w:r>
        <w:t xml:space="preserve">Auch interessierte zukünftige </w:t>
      </w:r>
      <w:r w:rsidRPr="00FB2CEC">
        <w:t>Botschafter*innen</w:t>
      </w:r>
      <w:r>
        <w:t xml:space="preserve"> können sich anmelden. Wenden Sie sich dafür zunächst an das Team der Initiative, um mehr zu erfahren: </w:t>
      </w:r>
      <w:hyperlink r:id="rId10" w:history="1">
        <w:r w:rsidRPr="00FB2CEC">
          <w:rPr>
            <w:rStyle w:val="Hyperlink"/>
          </w:rPr>
          <w:t>bbh@zwh.de</w:t>
        </w:r>
      </w:hyperlink>
    </w:p>
    <w:p w14:paraId="2A11012D" w14:textId="016DE318" w:rsidR="00692AE5" w:rsidRDefault="00692AE5" w:rsidP="00692AE5">
      <w:r w:rsidRPr="00B24B3A">
        <w:rPr>
          <w:b/>
          <w:bCs/>
        </w:rPr>
        <w:t xml:space="preserve">Hier </w:t>
      </w:r>
      <w:r w:rsidRPr="00FB2CEC">
        <w:rPr>
          <w:b/>
          <w:bCs/>
        </w:rPr>
        <w:t>geht</w:t>
      </w:r>
      <w:r w:rsidR="003B15E7" w:rsidRPr="00FB2CEC">
        <w:rPr>
          <w:b/>
          <w:bCs/>
        </w:rPr>
        <w:t>’</w:t>
      </w:r>
      <w:r w:rsidRPr="00FB2CEC">
        <w:rPr>
          <w:b/>
          <w:bCs/>
        </w:rPr>
        <w:t>s</w:t>
      </w:r>
      <w:r w:rsidRPr="00B24B3A">
        <w:rPr>
          <w:b/>
          <w:bCs/>
        </w:rPr>
        <w:t xml:space="preserve"> zur Academy:</w:t>
      </w:r>
      <w:r>
        <w:t xml:space="preserve"> </w:t>
      </w:r>
      <w:hyperlink r:id="rId11" w:history="1">
        <w:r w:rsidRPr="00FB2CEC">
          <w:rPr>
            <w:rStyle w:val="Hyperlink"/>
          </w:rPr>
          <w:t>https://academy.botschafter-des-handwerks.de/</w:t>
        </w:r>
      </w:hyperlink>
    </w:p>
    <w:p w14:paraId="41A6598A" w14:textId="1439ECC4" w:rsidR="00997BC8" w:rsidRPr="00692AE5" w:rsidRDefault="00997BC8" w:rsidP="00692AE5"/>
    <w:sectPr w:rsidR="00997BC8" w:rsidRPr="00692AE5" w:rsidSect="00922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134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8309" w14:textId="77777777" w:rsidR="00666AFA" w:rsidRDefault="00666AFA">
      <w:pPr>
        <w:spacing w:after="0"/>
      </w:pPr>
      <w:r>
        <w:separator/>
      </w:r>
    </w:p>
  </w:endnote>
  <w:endnote w:type="continuationSeparator" w:id="0">
    <w:p w14:paraId="6A980A92" w14:textId="77777777" w:rsidR="00666AFA" w:rsidRDefault="00666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2546" w14:textId="77777777" w:rsidR="00FB2CEC" w:rsidRDefault="00FB2C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2400" w14:textId="300ECBC6" w:rsidR="00157B68" w:rsidRPr="006B3894" w:rsidRDefault="00EE2703" w:rsidP="006B3894">
    <w:pPr>
      <w:pStyle w:val="Fuzeile"/>
      <w:ind w:right="-680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8EBFA" wp14:editId="7AD19D60">
              <wp:simplePos x="0" y="0"/>
              <wp:positionH relativeFrom="column">
                <wp:posOffset>6985</wp:posOffset>
              </wp:positionH>
              <wp:positionV relativeFrom="paragraph">
                <wp:posOffset>202564</wp:posOffset>
              </wp:positionV>
              <wp:extent cx="6551930" cy="0"/>
              <wp:effectExtent l="0" t="0" r="0" b="0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15B8E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.55pt;margin-top:15.95pt;width:515.9pt;height:0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" strokecolor="#7f7f7f [1612]"/>
          </w:pict>
        </mc:Fallback>
      </mc:AlternateContent>
    </w:r>
  </w:p>
  <w:p w14:paraId="1AEEC5D4" w14:textId="77777777" w:rsidR="00157B68" w:rsidRDefault="00C45B94" w:rsidP="006B3894">
    <w:pPr>
      <w:pStyle w:val="Fuzeile"/>
    </w:pPr>
  </w:p>
  <w:p w14:paraId="552827D6" w14:textId="77777777" w:rsidR="00157B68" w:rsidRDefault="00C45B94" w:rsidP="006B38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9F6E" w14:textId="77777777" w:rsidR="00FB2CEC" w:rsidRDefault="00FB2C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1643" w14:textId="77777777" w:rsidR="00666AFA" w:rsidRDefault="00666AFA">
      <w:pPr>
        <w:spacing w:after="0"/>
      </w:pPr>
      <w:r>
        <w:separator/>
      </w:r>
    </w:p>
  </w:footnote>
  <w:footnote w:type="continuationSeparator" w:id="0">
    <w:p w14:paraId="4863DCCC" w14:textId="77777777" w:rsidR="00666AFA" w:rsidRDefault="00666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8A25" w14:textId="77777777" w:rsidR="00FB2CEC" w:rsidRDefault="00FB2C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FAF" w14:textId="77777777" w:rsidR="00157B68" w:rsidRDefault="00EE2703" w:rsidP="00BF47BB">
    <w:pPr>
      <w:pStyle w:val="Kopfzeile"/>
      <w:tabs>
        <w:tab w:val="clear" w:pos="4536"/>
        <w:tab w:val="clear" w:pos="9072"/>
        <w:tab w:val="left" w:pos="888"/>
      </w:tabs>
    </w:pPr>
    <w:r>
      <w:rPr>
        <w:noProof/>
      </w:rPr>
      <w:t xml:space="preserve"> </w: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9F4BD2F" wp14:editId="7D0A8478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47855" cy="1067656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Q_allgemein_HSP1_2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55" cy="1067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5E28015" w14:textId="77777777" w:rsidR="00157B68" w:rsidRDefault="00C45B94" w:rsidP="00BF47BB">
    <w:pPr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E284" w14:textId="77777777" w:rsidR="00FB2CEC" w:rsidRDefault="00FB2C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7670"/>
    <w:multiLevelType w:val="hybridMultilevel"/>
    <w:tmpl w:val="B0342D4A"/>
    <w:lvl w:ilvl="0" w:tplc="6FC6A0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E92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835"/>
    <w:multiLevelType w:val="hybridMultilevel"/>
    <w:tmpl w:val="96BE5BF8"/>
    <w:lvl w:ilvl="0" w:tplc="A252C9F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1AA"/>
    <w:multiLevelType w:val="hybridMultilevel"/>
    <w:tmpl w:val="5FCE0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751"/>
    <w:multiLevelType w:val="hybridMultilevel"/>
    <w:tmpl w:val="DE062BDA"/>
    <w:lvl w:ilvl="0" w:tplc="8DF20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378A"/>
    <w:multiLevelType w:val="hybridMultilevel"/>
    <w:tmpl w:val="4836D406"/>
    <w:lvl w:ilvl="0" w:tplc="9C3E7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C7282"/>
    <w:multiLevelType w:val="hybridMultilevel"/>
    <w:tmpl w:val="C7F46648"/>
    <w:lvl w:ilvl="0" w:tplc="8EC0CE4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A0EB8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FDD"/>
    <w:multiLevelType w:val="hybridMultilevel"/>
    <w:tmpl w:val="5432888C"/>
    <w:lvl w:ilvl="0" w:tplc="7EB2129C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B6A7D"/>
    <w:multiLevelType w:val="hybridMultilevel"/>
    <w:tmpl w:val="A51E0E90"/>
    <w:lvl w:ilvl="0" w:tplc="B56473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70C7"/>
    <w:multiLevelType w:val="hybridMultilevel"/>
    <w:tmpl w:val="0C1E2BDC"/>
    <w:lvl w:ilvl="0" w:tplc="9266DC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5F61"/>
    <w:multiLevelType w:val="hybridMultilevel"/>
    <w:tmpl w:val="EC586AC2"/>
    <w:lvl w:ilvl="0" w:tplc="11BEF4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26ACC"/>
    <w:multiLevelType w:val="hybridMultilevel"/>
    <w:tmpl w:val="251E47DA"/>
    <w:lvl w:ilvl="0" w:tplc="C67E687E">
      <w:start w:val="3"/>
      <w:numFmt w:val="bullet"/>
      <w:lvlText w:val=""/>
      <w:lvlJc w:val="left"/>
      <w:pPr>
        <w:ind w:left="11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E8"/>
    <w:rsid w:val="000352DA"/>
    <w:rsid w:val="00077AE1"/>
    <w:rsid w:val="000A680A"/>
    <w:rsid w:val="000B0643"/>
    <w:rsid w:val="000B20C1"/>
    <w:rsid w:val="000B7929"/>
    <w:rsid w:val="000C01A3"/>
    <w:rsid w:val="000D0FCE"/>
    <w:rsid w:val="000D3970"/>
    <w:rsid w:val="000D74BD"/>
    <w:rsid w:val="000E0E2F"/>
    <w:rsid w:val="000E4A04"/>
    <w:rsid w:val="000F4F6F"/>
    <w:rsid w:val="00132696"/>
    <w:rsid w:val="00174FBE"/>
    <w:rsid w:val="00184624"/>
    <w:rsid w:val="00187D46"/>
    <w:rsid w:val="0019510A"/>
    <w:rsid w:val="001B1C11"/>
    <w:rsid w:val="001B7E86"/>
    <w:rsid w:val="001D4E00"/>
    <w:rsid w:val="002153D2"/>
    <w:rsid w:val="00225163"/>
    <w:rsid w:val="00234469"/>
    <w:rsid w:val="002504AA"/>
    <w:rsid w:val="0025536C"/>
    <w:rsid w:val="00256CB1"/>
    <w:rsid w:val="00267A65"/>
    <w:rsid w:val="00275E5C"/>
    <w:rsid w:val="002A7E59"/>
    <w:rsid w:val="002F28DE"/>
    <w:rsid w:val="00302D3C"/>
    <w:rsid w:val="00305194"/>
    <w:rsid w:val="00306985"/>
    <w:rsid w:val="00317EEA"/>
    <w:rsid w:val="003350F2"/>
    <w:rsid w:val="003564CE"/>
    <w:rsid w:val="00384E6E"/>
    <w:rsid w:val="00391266"/>
    <w:rsid w:val="003A6479"/>
    <w:rsid w:val="003A6DBE"/>
    <w:rsid w:val="003B15E7"/>
    <w:rsid w:val="003B3B8D"/>
    <w:rsid w:val="003C1041"/>
    <w:rsid w:val="003E41F8"/>
    <w:rsid w:val="003F5146"/>
    <w:rsid w:val="00400620"/>
    <w:rsid w:val="00401496"/>
    <w:rsid w:val="0040437F"/>
    <w:rsid w:val="00410822"/>
    <w:rsid w:val="00412FCC"/>
    <w:rsid w:val="004176A4"/>
    <w:rsid w:val="00417ACA"/>
    <w:rsid w:val="00423E39"/>
    <w:rsid w:val="00430E07"/>
    <w:rsid w:val="0046285D"/>
    <w:rsid w:val="00475D0C"/>
    <w:rsid w:val="004A18DA"/>
    <w:rsid w:val="004B058B"/>
    <w:rsid w:val="004B6513"/>
    <w:rsid w:val="004C31F0"/>
    <w:rsid w:val="004D6B86"/>
    <w:rsid w:val="004D75C6"/>
    <w:rsid w:val="004E001C"/>
    <w:rsid w:val="004F2004"/>
    <w:rsid w:val="0050121D"/>
    <w:rsid w:val="0050551F"/>
    <w:rsid w:val="005571A3"/>
    <w:rsid w:val="0057198B"/>
    <w:rsid w:val="0057387D"/>
    <w:rsid w:val="0058387F"/>
    <w:rsid w:val="00596247"/>
    <w:rsid w:val="005A6EC5"/>
    <w:rsid w:val="005A717C"/>
    <w:rsid w:val="005D0900"/>
    <w:rsid w:val="005F55EC"/>
    <w:rsid w:val="005F661D"/>
    <w:rsid w:val="00607617"/>
    <w:rsid w:val="00617817"/>
    <w:rsid w:val="00637BC1"/>
    <w:rsid w:val="00641906"/>
    <w:rsid w:val="00642BD5"/>
    <w:rsid w:val="0065593F"/>
    <w:rsid w:val="0066206B"/>
    <w:rsid w:val="00666AFA"/>
    <w:rsid w:val="006678A4"/>
    <w:rsid w:val="00667F26"/>
    <w:rsid w:val="00672E0C"/>
    <w:rsid w:val="00692AE5"/>
    <w:rsid w:val="00693BB4"/>
    <w:rsid w:val="006A3B3D"/>
    <w:rsid w:val="006B4583"/>
    <w:rsid w:val="006E528B"/>
    <w:rsid w:val="0071157B"/>
    <w:rsid w:val="0073135F"/>
    <w:rsid w:val="00747D10"/>
    <w:rsid w:val="007518B8"/>
    <w:rsid w:val="00753E2B"/>
    <w:rsid w:val="00755806"/>
    <w:rsid w:val="00763400"/>
    <w:rsid w:val="00763EE7"/>
    <w:rsid w:val="0077282A"/>
    <w:rsid w:val="00781919"/>
    <w:rsid w:val="00785472"/>
    <w:rsid w:val="007B182A"/>
    <w:rsid w:val="007D45E3"/>
    <w:rsid w:val="007D57B4"/>
    <w:rsid w:val="007E1843"/>
    <w:rsid w:val="007F5BFE"/>
    <w:rsid w:val="00807FDC"/>
    <w:rsid w:val="0083434E"/>
    <w:rsid w:val="008370EC"/>
    <w:rsid w:val="00840386"/>
    <w:rsid w:val="008414DD"/>
    <w:rsid w:val="00851E1D"/>
    <w:rsid w:val="00857398"/>
    <w:rsid w:val="00886276"/>
    <w:rsid w:val="008965AD"/>
    <w:rsid w:val="00897DE2"/>
    <w:rsid w:val="008A7563"/>
    <w:rsid w:val="008D4E35"/>
    <w:rsid w:val="008E01BB"/>
    <w:rsid w:val="00931F62"/>
    <w:rsid w:val="009553BD"/>
    <w:rsid w:val="009576A8"/>
    <w:rsid w:val="00963045"/>
    <w:rsid w:val="00970898"/>
    <w:rsid w:val="00975244"/>
    <w:rsid w:val="00997BC8"/>
    <w:rsid w:val="009A4D4F"/>
    <w:rsid w:val="00A05F58"/>
    <w:rsid w:val="00A17DB9"/>
    <w:rsid w:val="00A26B09"/>
    <w:rsid w:val="00A430F3"/>
    <w:rsid w:val="00A4434A"/>
    <w:rsid w:val="00A55447"/>
    <w:rsid w:val="00A56A05"/>
    <w:rsid w:val="00A708AD"/>
    <w:rsid w:val="00A71EBB"/>
    <w:rsid w:val="00A90504"/>
    <w:rsid w:val="00AA16E5"/>
    <w:rsid w:val="00AA356A"/>
    <w:rsid w:val="00AC6FDF"/>
    <w:rsid w:val="00AD55AE"/>
    <w:rsid w:val="00AD78A9"/>
    <w:rsid w:val="00AE361A"/>
    <w:rsid w:val="00AE5BE3"/>
    <w:rsid w:val="00AF4384"/>
    <w:rsid w:val="00B16A22"/>
    <w:rsid w:val="00B339CE"/>
    <w:rsid w:val="00B47D8F"/>
    <w:rsid w:val="00B9095E"/>
    <w:rsid w:val="00BB1249"/>
    <w:rsid w:val="00BB3EBE"/>
    <w:rsid w:val="00BB633B"/>
    <w:rsid w:val="00BF542A"/>
    <w:rsid w:val="00C01E33"/>
    <w:rsid w:val="00C112A8"/>
    <w:rsid w:val="00C45B94"/>
    <w:rsid w:val="00C56399"/>
    <w:rsid w:val="00C60981"/>
    <w:rsid w:val="00C61187"/>
    <w:rsid w:val="00CA0E69"/>
    <w:rsid w:val="00CA1591"/>
    <w:rsid w:val="00CC19A3"/>
    <w:rsid w:val="00CD30D2"/>
    <w:rsid w:val="00CE1E12"/>
    <w:rsid w:val="00CE2BEB"/>
    <w:rsid w:val="00CF788E"/>
    <w:rsid w:val="00D00188"/>
    <w:rsid w:val="00D22E4C"/>
    <w:rsid w:val="00D36BBD"/>
    <w:rsid w:val="00D62C98"/>
    <w:rsid w:val="00DB2273"/>
    <w:rsid w:val="00DE0677"/>
    <w:rsid w:val="00DE522E"/>
    <w:rsid w:val="00E115C6"/>
    <w:rsid w:val="00E12D68"/>
    <w:rsid w:val="00E12E48"/>
    <w:rsid w:val="00E3343C"/>
    <w:rsid w:val="00E41562"/>
    <w:rsid w:val="00E55DD2"/>
    <w:rsid w:val="00E71DE8"/>
    <w:rsid w:val="00E97F1C"/>
    <w:rsid w:val="00EA30C2"/>
    <w:rsid w:val="00EB2CDE"/>
    <w:rsid w:val="00EB3702"/>
    <w:rsid w:val="00EB58CC"/>
    <w:rsid w:val="00EB5CF1"/>
    <w:rsid w:val="00EE2703"/>
    <w:rsid w:val="00EF37BA"/>
    <w:rsid w:val="00EF3A99"/>
    <w:rsid w:val="00EF415E"/>
    <w:rsid w:val="00F063A9"/>
    <w:rsid w:val="00F21E74"/>
    <w:rsid w:val="00F36232"/>
    <w:rsid w:val="00F3725E"/>
    <w:rsid w:val="00F40E9A"/>
    <w:rsid w:val="00F41BC4"/>
    <w:rsid w:val="00F518E2"/>
    <w:rsid w:val="00F706D2"/>
    <w:rsid w:val="00FB2CEC"/>
    <w:rsid w:val="00FB3D98"/>
    <w:rsid w:val="00FB629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15064"/>
  <w15:chartTrackingRefBased/>
  <w15:docId w15:val="{79BA7C69-6691-40F9-B9B0-0A9F1AB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DE8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71DE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1DE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71D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46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62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D0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5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5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562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562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962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h@zwh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botschafter-des-handwerks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bh@zwh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otschafter-des-handwerks.d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4719-DCA4-47D0-83C6-E8F27F8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Aksoy, Dilara</dc:creator>
  <cp:keywords/>
  <dc:description/>
  <cp:lastModifiedBy>Hamann, Katharina</cp:lastModifiedBy>
  <cp:revision>18</cp:revision>
  <cp:lastPrinted>2020-09-25T15:14:00Z</cp:lastPrinted>
  <dcterms:created xsi:type="dcterms:W3CDTF">2021-07-08T12:32:00Z</dcterms:created>
  <dcterms:modified xsi:type="dcterms:W3CDTF">2021-07-13T10:11:00Z</dcterms:modified>
</cp:coreProperties>
</file>